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>
          <w:b w:val="1"/>
          <w:bCs w:val="1"/>
          <w:u w:val="none"/>
        </w:rPr>
      </w:pPr>
      <w:bookmarkStart w:colFirst="0" w:colLast="0" w:name="_heading=h.71h47gp20er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jc w:val="center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u w:val="none"/>
          <w:rtl w:val="0"/>
        </w:rPr>
        <w:t xml:space="preserve">RELACIONAMENTO OPERACIONAL PARA A MICROGERAÇÃO DISTRIBUÍDA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ADESÃO AO SISTEMA DE COMPENSAÇÃO DE ENERGIA ELÉTRICA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PRIMEIRA: DO OBJETO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Este documento contém as principais condições referentes ao Relacionamento Operacional entre o proprietário de sistema de microgeração distribuída e responsável pela unidade consumidora que adere ao Sistema de Compensação de Energia Elétrica,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___________________________________,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 CPF/CNPJ nº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____________________, 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localizada na rua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______________________________________________________,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bairro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município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_______________________,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titular da unidade consumidora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_____________,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e a Cooperativa de Distribuição de Energia Elétrica Teutônia - Certel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 Energia.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Este documento prevê a operação segura e ordenada das instalações elétricas interligando o sistema de microgeração ao sistema de distribuição de energia elétrica da Certel Energia.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Para os efeitos deste Relacionamento Operacional são adotadas as definições contidas nas Regras de Prestação do Serviço Público de Distribuição de Energia Elétrica e na </w:t>
      </w:r>
      <w:r w:rsidDel="00000000" w:rsidR="00000000" w:rsidRPr="00000000">
        <w:rPr>
          <w:rFonts w:ascii="Arial" w:cs="Arial" w:eastAsia="Arial" w:hAnsi="Arial"/>
          <w:rtl w:val="0"/>
        </w:rPr>
        <w:t xml:space="preserve">Resolução Normativa nº 1.000/2021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SEGUNDA: DO PRAZO DE VIGÊNCIA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Conforme Contrato de Fornecimento, Contrato de Uso do Sistema de Distribuição ou Contrato de Adesão disciplinado pelas Regras de Prestação de Serviço Público de Distribuição de Energia Elétrica.</w:t>
      </w:r>
    </w:p>
    <w:p w:rsidR="00000000" w:rsidDel="00000000" w:rsidP="00000000" w:rsidRDefault="00000000" w:rsidRPr="00000000" w14:paraId="0000000C">
      <w:pPr>
        <w:tabs>
          <w:tab w:val="left" w:leader="none" w:pos="341"/>
        </w:tabs>
        <w:spacing w:line="360" w:lineRule="auto"/>
        <w:rPr>
          <w:rFonts w:ascii="Arial" w:cs="Arial" w:eastAsia="Arial" w:hAnsi="Arial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TERCEIRA: DA ABRANGÊNCIA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Este Relacionamento Operacional aplica-se à interconexão de microgeração distribuída aos sistemas de distribuição.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Entende-se por microgeração distribuída a central geradora de energia elétrica com</w:t>
      </w:r>
    </w:p>
    <w:p w:rsidR="00000000" w:rsidDel="00000000" w:rsidP="00000000" w:rsidRDefault="00000000" w:rsidRPr="00000000" w14:paraId="00000010">
      <w:pPr>
        <w:tabs>
          <w:tab w:val="left" w:leader="none" w:pos="341"/>
        </w:tabs>
        <w:spacing w:line="360" w:lineRule="auto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potência instalada menor ou igual a 75 kW, conforme definição dada pela Resolução Normativa nº 1.000/2021.</w:t>
      </w:r>
    </w:p>
    <w:p w:rsidR="00000000" w:rsidDel="00000000" w:rsidP="00000000" w:rsidRDefault="00000000" w:rsidRPr="00000000" w14:paraId="00000011">
      <w:pPr>
        <w:tabs>
          <w:tab w:val="left" w:leader="none" w:pos="341"/>
        </w:tabs>
        <w:spacing w:line="360" w:lineRule="auto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41"/>
        </w:tabs>
        <w:spacing w:line="360" w:lineRule="auto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QUARTA: DA ESTRUTURA DE RELACIONAMENTO OPERACIONAL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80"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A estrutura responsável pela execução da coordenação, supervisão, controle e comando das instalações de conexão é composta por:</w:t>
      </w:r>
    </w:p>
    <w:p w:rsidR="00000000" w:rsidDel="00000000" w:rsidP="00000000" w:rsidRDefault="00000000" w:rsidRPr="00000000" w14:paraId="00000015">
      <w:pPr>
        <w:spacing w:after="80" w:line="360" w:lineRule="auto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Pela distribuidora: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(área responsável – telefone de contato)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="360" w:lineRule="auto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Pelo responsável pelo sistema de microgeração: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(nome – telefone de contato)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line="360" w:lineRule="auto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QUINTA: DO SISTEMA DE MICROGERAÇÃO DISTRIBUÍDA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41"/>
        </w:tabs>
        <w:spacing w:line="360" w:lineRule="auto"/>
        <w:ind w:left="0" w:firstLine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O sistema de microgeração compreende: gerador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(fonte)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(capacidade instalada - kW)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(descrição)</w:t>
      </w:r>
      <w:r w:rsidDel="00000000" w:rsidR="00000000" w:rsidRPr="00000000">
        <w:rPr>
          <w:rFonts w:ascii="Arial" w:cs="Arial" w:eastAsia="Arial" w:hAnsi="Arial"/>
          <w:color w:val="1f1a17"/>
          <w:rtl w:val="0"/>
        </w:rPr>
        <w:t xml:space="preserve"> conectado ao sistema de distribuição por meio de </w:t>
      </w:r>
      <w:r w:rsidDel="00000000" w:rsidR="00000000" w:rsidRPr="00000000">
        <w:rPr>
          <w:rFonts w:ascii="Arial" w:cs="Arial" w:eastAsia="Arial" w:hAnsi="Arial"/>
          <w:color w:val="1f1a17"/>
          <w:highlight w:val="yellow"/>
          <w:rtl w:val="0"/>
        </w:rPr>
        <w:t xml:space="preserve">(descrição do ponto de conexão – tensão – chave seccionadora – elemento de interrupção automático - condições de acesso para a manutenção do ponto de conexão).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1"/>
        </w:tabs>
        <w:spacing w:line="360" w:lineRule="auto"/>
        <w:rPr>
          <w:rFonts w:ascii="Arial" w:cs="Arial" w:eastAsia="Arial" w:hAnsi="Arial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SEXTA: DAS RESPONSABILIDADES NO RELACIONAMENTO OPERACIONAL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A área responsável da distribuidora orientará o responsável pelo sistema de microgeração distribuída sobre as atividades de coordenação e supervisão da operação, e sobre possíveis intervenções e desligamentos envolvendo os equipamentos e as instalações do sistema de distribuição, incluídas as instalações de conexão.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Caso necessitem de intervenção ou desligamento, ambas as partes se obrigam a fornecer com o máximo de antecedência possível um plano para minimizar o tempo de interrupção que, em casos de emergência, não sendo possíveis tais informações, as interrupções serão coordenadas pelos encarregados das respectivas instalações.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As partes se obrigam a efetuar comunicação formal sobre quaisquer alterações nas instalações do microgerador e da distribuidora.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SÉTIMA: DAS CONDIÇÕES DE SEGURANÇA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A área responsável da distribuidora orientará o responsável pelo sistema de microgeração distribuída sobre os aspectos de segurança do pessoal durante a execução dos serviços com equipamento desenergizado, relacionando e anexando as normas e/ou instruções de segurança e outros procedimentos a serem seguidos para garantir a segurança do pessoal e de terceiros durante a execução dos serviços em equipamento desenergizado.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As intervenções de qualquer natureza em equipamentos do sistema ou da instalação de conexão, só podem ser liberadas com a prévia autorização do Centro de Operação da Certel Energia.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OITAVA: DO DESLIGAMENTO DA INTERCONEXÃO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A Certel Energia poderá desconectar a unidade consumidora possuidora de sistema de microgeração de seu sistema elétrico nos casos em que: (i) a qualidade da energia elétrica fornecida pelo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highlight w:val="yellow"/>
          <w:u w:val="none"/>
          <w:vertAlign w:val="baseline"/>
          <w:rtl w:val="0"/>
        </w:rPr>
        <w:t xml:space="preserve">(proprietário do microgerador)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não obedecer aos padrões de qualidade dispostos no Parecer de Acesso; e (ii) quando a operação do sistema de microgeração representar perigo à vida e às instalações da Certel Energia, neste caso, sem aviso prévio.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Em quaisquer dos casos, 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highlight w:val="yellow"/>
          <w:u w:val="none"/>
          <w:vertAlign w:val="baseline"/>
          <w:rtl w:val="0"/>
        </w:rPr>
        <w:t xml:space="preserve">(proprietário do sistema de microgeração)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  <w:rtl w:val="0"/>
        </w:rPr>
        <w:t xml:space="preserve"> deve ser notificado para execução de ações corretivas com vistas ao restabelecimento da conexão, de acordo com o disposto nas Regras do Serviço de Distribuição de Energia Elétrica.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right="0"/>
        <w:jc w:val="both"/>
        <w:rPr>
          <w:rFonts w:ascii="Arial" w:cs="Arial" w:eastAsia="Arial" w:hAnsi="Arial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bookmarkStart w:colFirst="0" w:colLast="0" w:name="_heading=h.t1xei69i9ri3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1f1a17"/>
          <w:rtl w:val="0"/>
        </w:rPr>
        <w:t xml:space="preserve">CLÁUSULA NONA: DO FATURAMENTO E DAS TARIFAS APLICÁVEIS</w:t>
      </w:r>
    </w:p>
    <w:p w:rsidR="00000000" w:rsidDel="00000000" w:rsidP="00000000" w:rsidRDefault="00000000" w:rsidRPr="00000000" w14:paraId="00000029">
      <w:pPr>
        <w:spacing w:after="8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faturamento da unidade consumidora com microgeração distribuída observará as regras do Sistema de Compensação de Energia Elétrica e as demais disposições estabelecidas pela Agência Nacional de Energia Elétrica (ANEEL), em especial as diretrizes da Lei nº 14.300/2022 e da Resolução Normativa nº 1.000/2021, ou outra que venha a substituí-la.</w:t>
      </w:r>
    </w:p>
    <w:p w:rsidR="00000000" w:rsidDel="00000000" w:rsidP="00000000" w:rsidRDefault="00000000" w:rsidRPr="00000000" w14:paraId="0000002A">
      <w:pPr>
        <w:spacing w:after="80" w:line="360" w:lineRule="auto"/>
        <w:jc w:val="both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titular da unidade consumidora declara-se ciente de que sobre a energia elétrica ativa injetada na rede de distribuição incidirão, de forma gradual conforme cronograma definido pela legislação, as componentes tarifárias correspondentes, incluindo, mas não se limitando a: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TUSDg (Tarifa de Uso do Sistema de Distribuição - Geração).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line="360" w:lineRule="auto"/>
        <w:jc w:val="both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adesão ao presente Relacionamento Operacional formaliza a ciência e a concordância do consumidor com a estrutura de faturamento e as tarifas vigentes e futuras aplicáveis à sua modalidade de geração.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80" w:line="360" w:lineRule="auto"/>
        <w:jc w:val="center"/>
        <w:rPr>
          <w:rFonts w:ascii="Arial" w:cs="Arial" w:eastAsia="Arial" w:hAnsi="Arial"/>
          <w:b w:val="1"/>
          <w:bCs w:val="1"/>
          <w:color w:val="1f1a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Teutônia,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  <w:rtl w:val="0"/>
        </w:rPr>
        <w:t xml:space="preserve">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  <w:rtl w:val="0"/>
        </w:rPr>
        <w:t xml:space="preserve">_____________________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a1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418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677"/>
      </w:tabs>
      <w:rPr>
        <w:rFonts w:ascii="Verdana" w:cs="Verdana" w:eastAsia="Verdana" w:hAnsi="Verdana"/>
        <w:b w:val="1"/>
        <w:bCs w:val="1"/>
        <w:color w:val="000080"/>
        <w:sz w:val="20"/>
        <w:szCs w:val="20"/>
      </w:rPr>
    </w:pPr>
    <w:r w:rsidDel="00000000" w:rsidR="00000000" w:rsidRPr="00000000">
      <w:rPr>
        <w:rFonts w:ascii="Arial Black" w:cs="Arial Black" w:eastAsia="Arial Black" w:hAnsi="Arial Black"/>
        <w:color w:val="000080"/>
        <w:rtl w:val="0"/>
      </w:rPr>
      <w:tab/>
    </w:r>
    <w:r w:rsidDel="00000000" w:rsidR="00000000" w:rsidRPr="00000000">
      <w:rPr>
        <w:rFonts w:ascii="Verdana" w:cs="Verdana" w:eastAsia="Verdana" w:hAnsi="Verdana"/>
        <w:b w:val="1"/>
        <w:bCs w:val="1"/>
        <w:color w:val="000080"/>
        <w:sz w:val="20"/>
        <w:szCs w:val="20"/>
        <w:rtl w:val="0"/>
      </w:rPr>
      <w:t xml:space="preserve">Cooperativa de Distribuição de Energia Teutônia – CERTEL ENERGIA</w:t>
    </w:r>
  </w:p>
  <w:p w:rsidR="00000000" w:rsidDel="00000000" w:rsidP="00000000" w:rsidRDefault="00000000" w:rsidRPr="00000000" w14:paraId="00000037">
    <w:pPr>
      <w:pStyle w:val="Heading5"/>
      <w:jc w:val="center"/>
      <w:rPr>
        <w:rFonts w:ascii="Verdana" w:cs="Verdana" w:eastAsia="Verdana" w:hAnsi="Verdana"/>
        <w:b w:val="0"/>
        <w:bCs w:val="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0"/>
        <w:bCs w:val="0"/>
        <w:sz w:val="16"/>
        <w:szCs w:val="16"/>
        <w:rtl w:val="0"/>
      </w:rPr>
      <w:t xml:space="preserve">Rua Pastor Hasenack, 370 - Fone: (51) 3762-5555 – Fax: (51) 3762-5502 - Teutônia/RS - 95890-000</w:t>
    </w:r>
  </w:p>
  <w:p w:rsidR="00000000" w:rsidDel="00000000" w:rsidP="00000000" w:rsidRDefault="00000000" w:rsidRPr="00000000" w14:paraId="00000038">
    <w:pPr>
      <w:jc w:val="center"/>
      <w:rPr>
        <w:rFonts w:ascii="Verdana" w:cs="Verdana" w:eastAsia="Verdana" w:hAnsi="Verdana"/>
        <w:color w:val="00008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80"/>
        <w:sz w:val="16"/>
        <w:szCs w:val="16"/>
        <w:rtl w:val="0"/>
      </w:rPr>
      <w:t xml:space="preserve">e-mail: energia@certel.com.br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left" w:leader="none" w:pos="2520"/>
      </w:tabs>
      <w:ind w:left="284" w:firstLine="0"/>
      <w:rPr>
        <w:b w:val="1"/>
        <w:bCs w:val="1"/>
        <w:sz w:val="22"/>
        <w:szCs w:val="22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211898" cy="43585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1898" cy="435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FP 310.07.08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u w:val="singl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  <w:color w:val="000080"/>
      <w:sz w:val="18"/>
      <w:szCs w:val="1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Title">
    <w:name w:val="Title"/>
    <w:basedOn w:val="Normal"/>
    <w:next w:val="Normal"/>
    <w:pPr>
      <w:widowControl w:val="0"/>
      <w:tabs>
        <w:tab w:val="left" w:leader="none" w:pos="0"/>
        <w:tab w:val="left" w:leader="none" w:pos="900"/>
        <w:tab w:val="left" w:leader="none" w:pos="1800"/>
        <w:tab w:val="left" w:leader="none" w:pos="2700"/>
        <w:tab w:val="left" w:leader="none" w:pos="3600"/>
        <w:tab w:val="left" w:leader="none" w:pos="4500"/>
        <w:tab w:val="left" w:leader="none" w:pos="5400"/>
        <w:tab w:val="left" w:leader="none" w:pos="6300"/>
        <w:tab w:val="left" w:leader="none" w:pos="7200"/>
        <w:tab w:val="left" w:leader="none" w:pos="8100"/>
        <w:tab w:val="left" w:leader="none" w:pos="9000"/>
      </w:tabs>
      <w:jc w:val="center"/>
    </w:pPr>
    <w:rPr>
      <w:rFonts w:ascii="Arial" w:cs="Arial" w:eastAsia="Arial" w:hAnsi="Arial"/>
      <w:b w:val="1"/>
      <w:bCs w:val="1"/>
    </w:rPr>
  </w:style>
  <w:style w:type="paragraph" w:styleId="Ttulo7">
    <w:name w:val="heading 7"/>
    <w:basedOn w:val="Normal"/>
    <w:next w:val="Normal"/>
    <w:qFormat w:val="1"/>
    <w:pPr>
      <w:keepNext w:val="1"/>
      <w:spacing w:line="360" w:lineRule="auto"/>
      <w:ind w:left="709" w:firstLine="709"/>
      <w:outlineLvl w:val="6"/>
    </w:pPr>
    <w:rPr>
      <w:rFonts w:ascii="Arial" w:cs="Arial" w:hAnsi="Arial"/>
      <w:sz w:val="28"/>
    </w:rPr>
  </w:style>
  <w:style w:type="paragraph" w:styleId="Ttulo8">
    <w:name w:val="heading 8"/>
    <w:basedOn w:val="Normal"/>
    <w:next w:val="Normal"/>
    <w:qFormat w:val="1"/>
    <w:pPr>
      <w:keepNext w:val="1"/>
      <w:spacing w:line="360" w:lineRule="auto"/>
      <w:ind w:left="709" w:firstLine="709"/>
      <w:outlineLvl w:val="7"/>
    </w:pPr>
    <w:rPr>
      <w:rFonts w:ascii="Arial" w:cs="Arial" w:hAnsi="Arial"/>
      <w:b w:val="1"/>
      <w:bCs w:val="1"/>
      <w:sz w:val="32"/>
    </w:rPr>
  </w:style>
  <w:style w:type="paragraph" w:styleId="Ttulo9">
    <w:name w:val="heading 9"/>
    <w:basedOn w:val="Normal"/>
    <w:next w:val="Normal"/>
    <w:qFormat w:val="1"/>
    <w:pPr>
      <w:keepNext w:val="1"/>
      <w:spacing w:line="360" w:lineRule="auto"/>
      <w:ind w:left="1418"/>
      <w:outlineLvl w:val="8"/>
    </w:pPr>
    <w:rPr>
      <w:rFonts w:ascii="Arial" w:cs="Arial" w:hAnsi="Arial"/>
      <w:b w:val="1"/>
      <w:bCs w:val="1"/>
      <w:sz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3540"/>
      <w:jc w:val="both"/>
    </w:pPr>
    <w:rPr>
      <w:rFonts w:ascii="Arial" w:hAnsi="Arial"/>
    </w:rPr>
  </w:style>
  <w:style w:type="paragraph" w:styleId="Corpodetexto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tabs>
        <w:tab w:val="left" w:pos="9072"/>
      </w:tabs>
      <w:ind w:right="283"/>
      <w:jc w:val="both"/>
    </w:pPr>
    <w:rPr>
      <w:rFonts w:ascii="Arial" w:hAnsi="Arial"/>
      <w:sz w:val="16"/>
      <w:szCs w:val="20"/>
    </w:rPr>
  </w:style>
  <w:style w:type="paragraph" w:styleId="Textoembloco">
    <w:name w:val="Block Text"/>
    <w:basedOn w:val="Normal"/>
    <w:pPr>
      <w:ind w:left="-851" w:right="-660"/>
    </w:pPr>
    <w:rPr>
      <w:sz w:val="20"/>
      <w:szCs w:val="20"/>
    </w:rPr>
  </w:style>
  <w:style w:type="paragraph" w:styleId="Corpodetexto3">
    <w:name w:val="Body Text 3"/>
    <w:basedOn w:val="Normal"/>
    <w:pPr>
      <w:ind w:right="142"/>
      <w:jc w:val="both"/>
    </w:pPr>
  </w:style>
  <w:style w:type="paragraph" w:styleId="Recuodecorpodetexto2">
    <w:name w:val="Body Text Indent 2"/>
    <w:basedOn w:val="Normal"/>
    <w:pPr>
      <w:ind w:right="-660" w:firstLine="851"/>
    </w:pPr>
  </w:style>
  <w:style w:type="paragraph" w:styleId="Textodebalo">
    <w:name w:val="Balloon Text"/>
    <w:basedOn w:val="Normal"/>
    <w:link w:val="TextodebaloChar"/>
    <w:rsid w:val="00DD5477"/>
    <w:rPr>
      <w:rFonts w:ascii="Segoe UI" w:hAnsi="Segoe UI"/>
      <w:sz w:val="18"/>
      <w:szCs w:val="18"/>
      <w:lang w:eastAsia="x-none" w:val="x-none"/>
    </w:rPr>
  </w:style>
  <w:style w:type="character" w:styleId="TextodebaloChar" w:customStyle="1">
    <w:name w:val="Texto de balão Char"/>
    <w:link w:val="Textodebalo"/>
    <w:rsid w:val="00DD5477"/>
    <w:rPr>
      <w:rFonts w:ascii="Segoe UI" w:cs="Segoe UI" w:hAnsi="Segoe UI"/>
      <w:sz w:val="18"/>
      <w:szCs w:val="18"/>
    </w:rPr>
  </w:style>
  <w:style w:type="paragraph" w:styleId="Lista">
    <w:name w:val="List"/>
    <w:basedOn w:val="Normal"/>
    <w:rsid w:val="0058247E"/>
    <w:pPr>
      <w:suppressAutoHyphens w:val="1"/>
      <w:spacing w:after="60" w:before="240" w:line="288" w:lineRule="auto"/>
      <w:ind w:firstLine="851"/>
      <w:jc w:val="both"/>
    </w:pPr>
    <w:rPr>
      <w:rFonts w:ascii="Arial" w:hAnsi="Arial"/>
      <w:lang w:eastAsia="ar-SA"/>
    </w:rPr>
  </w:style>
  <w:style w:type="paragraph" w:styleId="PargrafodaLista">
    <w:name w:val="List Paragraph"/>
    <w:basedOn w:val="Normal"/>
    <w:uiPriority w:val="34"/>
    <w:qFormat w:val="1"/>
    <w:rsid w:val="0058247E"/>
    <w:pPr>
      <w:suppressAutoHyphens w:val="1"/>
      <w:spacing w:line="288" w:lineRule="auto"/>
      <w:ind w:left="720" w:firstLine="851"/>
      <w:contextualSpacing w:val="1"/>
      <w:jc w:val="both"/>
    </w:pPr>
    <w:rPr>
      <w:rFonts w:ascii="Arial" w:hAnsi="Arial"/>
      <w:lang w:eastAsia="ar-SA"/>
    </w:rPr>
  </w:style>
  <w:style w:type="table" w:styleId="TabelaSimples51" w:customStyle="1">
    <w:name w:val="Tabela Simples 51"/>
    <w:basedOn w:val="Tabelanormal"/>
    <w:uiPriority w:val="45"/>
    <w:rsid w:val="005824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cs="Times New Roman" w:eastAsia="Times New Roman" w:hAnsi="DengXian"/>
        <w:i w:val="1"/>
        <w:iCs w:val="1"/>
        <w:sz w:val="26"/>
      </w:rPr>
      <w:tblPr/>
      <w:tcPr>
        <w:tcBorders>
          <w:bottom w:color="7f7f7f" w:space="0" w:sz="4" w:val="single"/>
        </w:tcBorders>
        <w:shd w:color="auto" w:fill="ffffff" w:val="clear"/>
      </w:tcPr>
    </w:tblStylePr>
    <w:tblStylePr w:type="lastRow">
      <w:rPr>
        <w:rFonts w:ascii="DengXian" w:cs="Times New Roman" w:eastAsia="Times New Roman" w:hAnsi="DengXian"/>
        <w:i w:val="1"/>
        <w:iCs w:val="1"/>
        <w:sz w:val="26"/>
      </w:rPr>
      <w:tblPr/>
      <w:tcPr>
        <w:tcBorders>
          <w:top w:color="7f7f7f" w:space="0" w:sz="4" w:val="single"/>
        </w:tcBorders>
        <w:shd w:color="auto" w:fill="ffffff" w:val="clear"/>
      </w:tcPr>
    </w:tblStylePr>
    <w:tblStylePr w:type="firstCol">
      <w:pPr>
        <w:jc w:val="right"/>
      </w:pPr>
      <w:rPr>
        <w:rFonts w:ascii="DengXian" w:cs="Times New Roman" w:eastAsia="Times New Roman" w:hAnsi="DengXian"/>
        <w:i w:val="1"/>
        <w:iCs w:val="1"/>
        <w:sz w:val="26"/>
      </w:rPr>
      <w:tblPr/>
      <w:tcPr>
        <w:tcBorders>
          <w:right w:color="7f7f7f" w:space="0" w:sz="4" w:val="single"/>
        </w:tcBorders>
        <w:shd w:color="auto" w:fill="ffffff" w:val="clear"/>
      </w:tcPr>
    </w:tblStylePr>
    <w:tblStylePr w:type="lastCol">
      <w:rPr>
        <w:rFonts w:ascii="DengXian" w:cs="Times New Roman" w:eastAsia="Times New Roman" w:hAnsi="DengXian"/>
        <w:i w:val="1"/>
        <w:iCs w:val="1"/>
        <w:sz w:val="26"/>
      </w:rPr>
      <w:tblPr/>
      <w:tcPr>
        <w:tcBorders>
          <w:left w:color="7f7f7f" w:space="0" w:sz="4" w:val="single"/>
        </w:tcBorders>
        <w:shd w:color="auto" w:fill="ffffff" w:val="clear"/>
      </w:tc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western" w:customStyle="1">
    <w:name w:val="western"/>
    <w:basedOn w:val="Normal"/>
    <w:rsid w:val="006B53CF"/>
    <w:pPr>
      <w:spacing w:after="119" w:before="100" w:beforeAutospacing="1" w:line="276" w:lineRule="auto"/>
    </w:pPr>
    <w:rPr>
      <w:rFonts w:ascii="Calibri" w:cs="Arial Unicode MS" w:eastAsia="Arial Unicode MS" w:hAnsi="Calibri"/>
      <w:color w:val="00000a"/>
      <w:sz w:val="22"/>
      <w:szCs w:val="22"/>
    </w:rPr>
  </w:style>
  <w:style w:type="table" w:styleId="Tabelacomgrade">
    <w:name w:val="Table Grid"/>
    <w:basedOn w:val="Tabelanormal"/>
    <w:rsid w:val="00EA3E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UU/meKLXE9JIHpzDR9RYdWbkg==">CgMxLjAyDmguNzFoNDdncDIwZXJ1Mg5oLnQxeGVpNjlpOXJpMzgAciExNS1lZ0tkVXJmRUVMYjJTTjN0Zk1lMFhNM1FHdHRLRGo=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2025-09-25T20:28:00Z</dcterms:created>
  <dc:creator>Airton Kist</dc:creator>
</cp:coreProperties>
</file>